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344973">
        <w:rPr>
          <w:rFonts w:cs="Arial"/>
          <w:sz w:val="20"/>
        </w:rPr>
        <w:t xml:space="preserve"> NO: TMH/TMH</w:t>
      </w:r>
      <w:r w:rsidR="00F632DA">
        <w:rPr>
          <w:rFonts w:cs="Arial"/>
          <w:sz w:val="20"/>
        </w:rPr>
        <w:t>/2021-22</w:t>
      </w:r>
      <w:r w:rsidR="00E23660">
        <w:rPr>
          <w:rFonts w:cs="Arial"/>
          <w:sz w:val="20"/>
        </w:rPr>
        <w:t>/CAP/LT/0114</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D40BD6"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D65ED8">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344973">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344973">
        <w:rPr>
          <w:rFonts w:ascii="Arial" w:hAnsi="Arial" w:cs="Arial"/>
          <w:b/>
          <w:sz w:val="20"/>
          <w:szCs w:val="20"/>
        </w:rPr>
        <w:t>11</w:t>
      </w:r>
      <w:r w:rsidR="00E23660">
        <w:rPr>
          <w:rFonts w:ascii="Arial" w:hAnsi="Arial" w:cs="Arial"/>
          <w:b/>
          <w:sz w:val="20"/>
          <w:szCs w:val="20"/>
        </w:rPr>
        <w:t>4</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E23660">
        <w:rPr>
          <w:rFonts w:ascii="Arial" w:hAnsi="Arial" w:cs="Arial"/>
          <w:b/>
          <w:bCs/>
          <w:sz w:val="20"/>
          <w:szCs w:val="20"/>
        </w:rPr>
        <w:t>Diagnostic Oto-Acoustic Emission (OAE) with Video-Otoscope</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BE4F4C">
        <w:rPr>
          <w:rFonts w:ascii="Arial" w:hAnsi="Arial" w:cs="Arial"/>
          <w:b/>
          <w:sz w:val="20"/>
          <w:szCs w:val="20"/>
        </w:rPr>
        <w:t>CIF, TMH</w:t>
      </w:r>
      <w:r w:rsidR="00B205B3">
        <w:rPr>
          <w:rFonts w:ascii="Arial" w:hAnsi="Arial" w:cs="Arial"/>
          <w:b/>
          <w:sz w:val="20"/>
          <w:szCs w:val="20"/>
        </w:rPr>
        <w:t xml:space="preserve"> </w:t>
      </w:r>
      <w:r w:rsidR="00BE4F4C">
        <w:rPr>
          <w:rFonts w:ascii="Arial" w:hAnsi="Arial" w:cs="Arial"/>
          <w:b/>
          <w:sz w:val="20"/>
          <w:szCs w:val="20"/>
        </w:rPr>
        <w:t xml:space="preserve">(Exclusive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BE4F4C">
        <w:rPr>
          <w:rFonts w:ascii="Arial" w:hAnsi="Arial" w:cs="Arial"/>
          <w:b/>
          <w:sz w:val="20"/>
          <w:szCs w:val="20"/>
        </w:rPr>
        <w:t xml:space="preserve"> CIF, TMH</w:t>
      </w:r>
      <w:r w:rsidR="003F76EA">
        <w:rPr>
          <w:rFonts w:ascii="Arial" w:hAnsi="Arial" w:cs="Arial"/>
          <w:b/>
          <w:sz w:val="20"/>
          <w:szCs w:val="20"/>
        </w:rPr>
        <w:t xml:space="preserve"> </w:t>
      </w:r>
      <w:r w:rsidR="00BE4F4C">
        <w:rPr>
          <w:rFonts w:ascii="Arial" w:hAnsi="Arial" w:cs="Arial"/>
          <w:b/>
          <w:sz w:val="20"/>
          <w:szCs w:val="20"/>
        </w:rPr>
        <w:t xml:space="preserve">(exclusive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4C3573">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381EC4" w:rsidRDefault="00381EC4" w:rsidP="00924292">
      <w:pPr>
        <w:spacing w:after="0" w:line="240" w:lineRule="auto"/>
        <w:jc w:val="both"/>
        <w:rPr>
          <w:rFonts w:ascii="Arial" w:hAnsi="Arial" w:cs="Arial"/>
          <w:b/>
          <w:sz w:val="20"/>
          <w:szCs w:val="20"/>
        </w:rPr>
      </w:pPr>
    </w:p>
    <w:p w:rsidR="00381EC4" w:rsidRDefault="00381EC4"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E23660">
        <w:rPr>
          <w:rFonts w:ascii="Arial" w:hAnsi="Arial" w:cs="Arial"/>
          <w:b/>
          <w:bCs/>
          <w:sz w:val="20"/>
          <w:szCs w:val="20"/>
        </w:rPr>
        <w:t>“Diagnostic Oto-Acoustic Emission (OAE) with Video-Otoscope”, Quantity 1 n</w:t>
      </w:r>
      <w:r w:rsidR="00E23660" w:rsidRPr="00961606">
        <w:rPr>
          <w:rFonts w:ascii="Arial" w:hAnsi="Arial" w:cs="Arial"/>
          <w:b/>
          <w:bCs/>
          <w:sz w:val="20"/>
          <w:szCs w:val="20"/>
        </w:rPr>
        <w:t>o</w:t>
      </w:r>
      <w:r w:rsidR="00E23660">
        <w:rPr>
          <w:rFonts w:ascii="Arial" w:hAnsi="Arial" w:cs="Arial"/>
          <w:b/>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E2366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381EC4">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E23660">
        <w:rPr>
          <w:rFonts w:ascii="Arial" w:hAnsi="Arial" w:cs="Arial"/>
          <w:b/>
          <w:sz w:val="20"/>
          <w:szCs w:val="20"/>
        </w:rPr>
        <w:t>114</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E23660">
        <w:rPr>
          <w:rFonts w:ascii="Arial" w:hAnsi="Arial" w:cs="Arial"/>
          <w:b/>
          <w:bCs/>
          <w:sz w:val="20"/>
          <w:szCs w:val="20"/>
        </w:rPr>
        <w:t>“Diagnostic Oto-Acoustic Emission (OAE) with Video-Otoscope”, Quantity 1 n</w:t>
      </w:r>
      <w:r w:rsidR="00E23660" w:rsidRPr="00961606">
        <w:rPr>
          <w:rFonts w:ascii="Arial" w:hAnsi="Arial" w:cs="Arial"/>
          <w:b/>
          <w:bCs/>
          <w:sz w:val="20"/>
          <w:szCs w:val="20"/>
        </w:rPr>
        <w:t>o</w:t>
      </w:r>
      <w:r w:rsidR="00E23660">
        <w:rPr>
          <w:rFonts w:ascii="Arial" w:hAnsi="Arial" w:cs="Arial"/>
          <w:b/>
          <w:bCs/>
          <w:sz w:val="20"/>
          <w:szCs w:val="20"/>
        </w:rPr>
        <w:t>.</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Name of the equipment :</w:t>
      </w:r>
      <w:r w:rsidR="00E23660" w:rsidRPr="00E23660">
        <w:rPr>
          <w:rFonts w:ascii="Arial" w:hAnsi="Arial" w:cs="Arial"/>
          <w:b/>
          <w:bCs/>
          <w:sz w:val="20"/>
          <w:szCs w:val="20"/>
        </w:rPr>
        <w:t xml:space="preserve"> </w:t>
      </w:r>
      <w:r w:rsidR="00E23660">
        <w:rPr>
          <w:rFonts w:ascii="Arial" w:hAnsi="Arial" w:cs="Arial"/>
          <w:b/>
          <w:bCs/>
          <w:sz w:val="20"/>
          <w:szCs w:val="20"/>
        </w:rPr>
        <w:t>Diagnostic Oto-Acoustic Emission (OAE) with Video-Otoscope, Quantity 1 n</w:t>
      </w:r>
      <w:r w:rsidR="00E23660">
        <w:rPr>
          <w:rFonts w:ascii="Arial" w:hAnsi="Arial" w:cs="Arial"/>
          <w:b/>
          <w:bCs/>
          <w:sz w:val="20"/>
          <w:szCs w:val="20"/>
        </w:rPr>
        <w:t>o.</w:t>
      </w:r>
      <w:bookmarkStart w:id="0" w:name="_GoBack"/>
      <w:bookmarkEnd w:id="0"/>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C60ED5">
              <w:rPr>
                <w:rFonts w:ascii="Arial" w:hAnsi="Arial" w:cs="Arial"/>
                <w:b/>
                <w:noProof/>
                <w:sz w:val="20"/>
                <w:szCs w:val="20"/>
              </w:rPr>
              <w:t>TMH.</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C60ED5">
              <w:rPr>
                <w:rFonts w:ascii="Arial" w:hAnsi="Arial" w:cs="Arial"/>
                <w:b/>
                <w:noProof/>
                <w:sz w:val="20"/>
                <w:szCs w:val="20"/>
              </w:rPr>
              <w:t>TMH</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966FA"/>
    <w:rsid w:val="001B02A4"/>
    <w:rsid w:val="001B7A74"/>
    <w:rsid w:val="001C1EEE"/>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4973"/>
    <w:rsid w:val="00346C22"/>
    <w:rsid w:val="00347E36"/>
    <w:rsid w:val="00355F30"/>
    <w:rsid w:val="00356B09"/>
    <w:rsid w:val="00370573"/>
    <w:rsid w:val="00381EC4"/>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C3573"/>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73FF"/>
    <w:rsid w:val="0065774C"/>
    <w:rsid w:val="00690046"/>
    <w:rsid w:val="006A4605"/>
    <w:rsid w:val="006B1618"/>
    <w:rsid w:val="006B21B0"/>
    <w:rsid w:val="006B254B"/>
    <w:rsid w:val="006D2908"/>
    <w:rsid w:val="006E5AE8"/>
    <w:rsid w:val="00703286"/>
    <w:rsid w:val="0071178F"/>
    <w:rsid w:val="00716973"/>
    <w:rsid w:val="00717812"/>
    <w:rsid w:val="007202B0"/>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43101"/>
    <w:rsid w:val="00A50064"/>
    <w:rsid w:val="00A66DF8"/>
    <w:rsid w:val="00AB0455"/>
    <w:rsid w:val="00AB052D"/>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E4F4C"/>
    <w:rsid w:val="00BF01F0"/>
    <w:rsid w:val="00C15DE7"/>
    <w:rsid w:val="00C402E6"/>
    <w:rsid w:val="00C43732"/>
    <w:rsid w:val="00C52BBA"/>
    <w:rsid w:val="00C55BBE"/>
    <w:rsid w:val="00C60ED5"/>
    <w:rsid w:val="00C70988"/>
    <w:rsid w:val="00C7218E"/>
    <w:rsid w:val="00C75A46"/>
    <w:rsid w:val="00C86094"/>
    <w:rsid w:val="00C9151C"/>
    <w:rsid w:val="00CA4BEE"/>
    <w:rsid w:val="00CC1734"/>
    <w:rsid w:val="00CE3DE9"/>
    <w:rsid w:val="00D037AB"/>
    <w:rsid w:val="00D066B0"/>
    <w:rsid w:val="00D2424C"/>
    <w:rsid w:val="00D40BD6"/>
    <w:rsid w:val="00D439F4"/>
    <w:rsid w:val="00D46204"/>
    <w:rsid w:val="00D52FD3"/>
    <w:rsid w:val="00D62108"/>
    <w:rsid w:val="00D655A9"/>
    <w:rsid w:val="00D65ED8"/>
    <w:rsid w:val="00D7516B"/>
    <w:rsid w:val="00DB1EF4"/>
    <w:rsid w:val="00DD69DA"/>
    <w:rsid w:val="00DF0687"/>
    <w:rsid w:val="00DF5B0E"/>
    <w:rsid w:val="00E04DC9"/>
    <w:rsid w:val="00E07A0B"/>
    <w:rsid w:val="00E12E6D"/>
    <w:rsid w:val="00E23660"/>
    <w:rsid w:val="00E251B1"/>
    <w:rsid w:val="00E332EA"/>
    <w:rsid w:val="00E34F10"/>
    <w:rsid w:val="00E467A1"/>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6286"/>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3</cp:revision>
  <cp:lastPrinted>2021-04-26T09:14:00Z</cp:lastPrinted>
  <dcterms:created xsi:type="dcterms:W3CDTF">2021-12-01T10:11:00Z</dcterms:created>
  <dcterms:modified xsi:type="dcterms:W3CDTF">2021-12-01T10:13:00Z</dcterms:modified>
</cp:coreProperties>
</file>